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8A" w:rsidRPr="00EA2B8A" w:rsidRDefault="00EA2B8A" w:rsidP="00EA2B8A">
      <w:pPr>
        <w:widowControl/>
        <w:spacing w:line="301" w:lineRule="atLeast"/>
        <w:outlineLvl w:val="0"/>
        <w:rPr>
          <w:rFonts w:ascii="宋体" w:eastAsia="宋体" w:hAnsi="宋体" w:cs="宋体" w:hint="eastAsia"/>
          <w:kern w:val="36"/>
          <w:sz w:val="15"/>
          <w:szCs w:val="15"/>
        </w:rPr>
      </w:pPr>
      <w:r w:rsidRPr="00EA2B8A">
        <w:rPr>
          <w:rFonts w:ascii="宋体" w:eastAsia="宋体" w:hAnsi="宋体" w:cs="宋体" w:hint="eastAsia"/>
          <w:kern w:val="36"/>
          <w:sz w:val="15"/>
          <w:szCs w:val="15"/>
        </w:rPr>
        <w:t>2017年度国家自然科学基金委员会与财团法人李国鼎科技发展基金会</w:t>
      </w:r>
      <w:r w:rsidRPr="00EA2B8A">
        <w:rPr>
          <w:rFonts w:ascii="宋体" w:eastAsia="宋体" w:hAnsi="宋体" w:cs="宋体" w:hint="eastAsia"/>
          <w:kern w:val="36"/>
          <w:sz w:val="15"/>
          <w:szCs w:val="15"/>
        </w:rPr>
        <w:br/>
        <w:t>联合资助合作研究项目指南</w:t>
      </w:r>
    </w:p>
    <w:p w:rsidR="00EA2B8A" w:rsidRPr="00EA2B8A" w:rsidRDefault="00EA2B8A" w:rsidP="00EA2B8A">
      <w:pPr>
        <w:widowControl/>
        <w:spacing w:line="301" w:lineRule="atLeast"/>
        <w:rPr>
          <w:rFonts w:ascii="宋体" w:eastAsia="宋体" w:hAnsi="宋体" w:cs="宋体" w:hint="eastAsia"/>
          <w:kern w:val="0"/>
          <w:sz w:val="15"/>
          <w:szCs w:val="15"/>
        </w:rPr>
      </w:pPr>
      <w:r w:rsidRPr="00EA2B8A">
        <w:rPr>
          <w:rFonts w:ascii="宋体" w:eastAsia="宋体" w:hAnsi="宋体" w:cs="宋体" w:hint="eastAsia"/>
          <w:kern w:val="0"/>
          <w:sz w:val="15"/>
          <w:szCs w:val="15"/>
        </w:rPr>
        <w:t>日期 2017-03-21　  来源：国际合作局　  作者：王文泽　 【</w:t>
      </w:r>
      <w:hyperlink r:id="rId4" w:history="1">
        <w:r w:rsidRPr="00EA2B8A">
          <w:rPr>
            <w:rFonts w:ascii="宋体" w:eastAsia="宋体" w:hAnsi="宋体" w:cs="宋体" w:hint="eastAsia"/>
            <w:color w:val="333333"/>
            <w:kern w:val="0"/>
            <w:sz w:val="15"/>
          </w:rPr>
          <w:t>大</w:t>
        </w:r>
      </w:hyperlink>
      <w:r w:rsidRPr="00EA2B8A">
        <w:rPr>
          <w:rFonts w:ascii="宋体" w:eastAsia="宋体" w:hAnsi="宋体" w:cs="宋体" w:hint="eastAsia"/>
          <w:kern w:val="0"/>
          <w:sz w:val="15"/>
          <w:szCs w:val="15"/>
        </w:rPr>
        <w:t xml:space="preserve"> </w:t>
      </w:r>
      <w:hyperlink r:id="rId5" w:history="1">
        <w:r w:rsidRPr="00EA2B8A">
          <w:rPr>
            <w:rFonts w:ascii="宋体" w:eastAsia="宋体" w:hAnsi="宋体" w:cs="宋体" w:hint="eastAsia"/>
            <w:color w:val="333333"/>
            <w:kern w:val="0"/>
            <w:sz w:val="15"/>
          </w:rPr>
          <w:t>中</w:t>
        </w:r>
      </w:hyperlink>
      <w:r w:rsidRPr="00EA2B8A">
        <w:rPr>
          <w:rFonts w:ascii="宋体" w:eastAsia="宋体" w:hAnsi="宋体" w:cs="宋体" w:hint="eastAsia"/>
          <w:kern w:val="0"/>
          <w:sz w:val="15"/>
          <w:szCs w:val="15"/>
        </w:rPr>
        <w:t xml:space="preserve"> </w:t>
      </w:r>
      <w:hyperlink r:id="rId6" w:history="1">
        <w:r w:rsidRPr="00EA2B8A">
          <w:rPr>
            <w:rFonts w:ascii="宋体" w:eastAsia="宋体" w:hAnsi="宋体" w:cs="宋体" w:hint="eastAsia"/>
            <w:color w:val="333333"/>
            <w:kern w:val="0"/>
            <w:sz w:val="15"/>
          </w:rPr>
          <w:t>小</w:t>
        </w:r>
      </w:hyperlink>
      <w:r w:rsidRPr="00EA2B8A">
        <w:rPr>
          <w:rFonts w:ascii="宋体" w:eastAsia="宋体" w:hAnsi="宋体" w:cs="宋体" w:hint="eastAsia"/>
          <w:kern w:val="0"/>
          <w:sz w:val="15"/>
          <w:szCs w:val="15"/>
        </w:rPr>
        <w:t>】　  【</w:t>
      </w:r>
      <w:hyperlink r:id="rId7" w:history="1">
        <w:r w:rsidRPr="00EA2B8A">
          <w:rPr>
            <w:rFonts w:ascii="宋体" w:eastAsia="宋体" w:hAnsi="宋体" w:cs="宋体" w:hint="eastAsia"/>
            <w:color w:val="333333"/>
            <w:kern w:val="0"/>
            <w:sz w:val="15"/>
          </w:rPr>
          <w:t>打印</w:t>
        </w:r>
      </w:hyperlink>
      <w:r w:rsidRPr="00EA2B8A">
        <w:rPr>
          <w:rFonts w:ascii="宋体" w:eastAsia="宋体" w:hAnsi="宋体" w:cs="宋体" w:hint="eastAsia"/>
          <w:kern w:val="0"/>
          <w:sz w:val="15"/>
          <w:szCs w:val="15"/>
        </w:rPr>
        <w:t>】　  【</w:t>
      </w:r>
      <w:hyperlink r:id="rId8" w:history="1">
        <w:r w:rsidRPr="00EA2B8A">
          <w:rPr>
            <w:rFonts w:ascii="宋体" w:eastAsia="宋体" w:hAnsi="宋体" w:cs="宋体" w:hint="eastAsia"/>
            <w:color w:val="333333"/>
            <w:kern w:val="0"/>
            <w:sz w:val="15"/>
          </w:rPr>
          <w:t>关闭</w:t>
        </w:r>
      </w:hyperlink>
      <w:r w:rsidRPr="00EA2B8A">
        <w:rPr>
          <w:rFonts w:ascii="宋体" w:eastAsia="宋体" w:hAnsi="宋体" w:cs="宋体" w:hint="eastAsia"/>
          <w:kern w:val="0"/>
          <w:sz w:val="15"/>
          <w:szCs w:val="15"/>
        </w:rPr>
        <w:t>】</w:t>
      </w:r>
    </w:p>
    <w:tbl>
      <w:tblPr>
        <w:tblW w:w="5000" w:type="pct"/>
        <w:tblCellSpacing w:w="0" w:type="dxa"/>
        <w:tblCellMar>
          <w:left w:w="0" w:type="dxa"/>
          <w:right w:w="0" w:type="dxa"/>
        </w:tblCellMar>
        <w:tblLook w:val="04A0"/>
      </w:tblPr>
      <w:tblGrid>
        <w:gridCol w:w="8306"/>
      </w:tblGrid>
      <w:tr w:rsidR="00EA2B8A" w:rsidRPr="00EA2B8A" w:rsidTr="00EA2B8A">
        <w:trPr>
          <w:trHeight w:val="50"/>
          <w:tblCellSpacing w:w="0" w:type="dxa"/>
        </w:trPr>
        <w:tc>
          <w:tcPr>
            <w:tcW w:w="0" w:type="auto"/>
            <w:vAlign w:val="center"/>
            <w:hideMark/>
          </w:tcPr>
          <w:p w:rsidR="00EA2B8A" w:rsidRPr="00EA2B8A" w:rsidRDefault="00EA2B8A" w:rsidP="00EA2B8A">
            <w:pPr>
              <w:widowControl/>
              <w:spacing w:line="301" w:lineRule="atLeast"/>
              <w:rPr>
                <w:rFonts w:ascii="宋体" w:eastAsia="宋体" w:hAnsi="宋体" w:cs="宋体"/>
                <w:kern w:val="0"/>
                <w:sz w:val="6"/>
                <w:szCs w:val="15"/>
              </w:rPr>
            </w:pPr>
          </w:p>
        </w:tc>
      </w:tr>
      <w:tr w:rsidR="00EA2B8A" w:rsidRPr="00EA2B8A" w:rsidTr="00EA2B8A">
        <w:trPr>
          <w:tblCellSpacing w:w="0" w:type="dxa"/>
        </w:trPr>
        <w:tc>
          <w:tcPr>
            <w:tcW w:w="0" w:type="auto"/>
            <w:vAlign w:val="center"/>
            <w:hideMark/>
          </w:tcPr>
          <w:p w:rsidR="00EA2B8A" w:rsidRPr="00EA2B8A" w:rsidRDefault="00EA2B8A" w:rsidP="00EA2B8A">
            <w:pPr>
              <w:widowControl/>
              <w:spacing w:line="301" w:lineRule="atLeast"/>
              <w:jc w:val="center"/>
              <w:rPr>
                <w:rFonts w:ascii="宋体" w:eastAsia="宋体" w:hAnsi="宋体" w:cs="宋体"/>
                <w:kern w:val="0"/>
                <w:sz w:val="15"/>
                <w:szCs w:val="15"/>
              </w:rPr>
            </w:pPr>
          </w:p>
        </w:tc>
      </w:tr>
    </w:tbl>
    <w:p w:rsidR="00EA2B8A" w:rsidRPr="00EA2B8A" w:rsidRDefault="00EA2B8A" w:rsidP="00EA2B8A">
      <w:pPr>
        <w:widowControl/>
        <w:spacing w:line="301" w:lineRule="atLeast"/>
        <w:rPr>
          <w:rFonts w:ascii="宋体" w:eastAsia="宋体" w:hAnsi="宋体" w:cs="宋体" w:hint="eastAsia"/>
          <w:kern w:val="0"/>
          <w:sz w:val="24"/>
          <w:szCs w:val="24"/>
        </w:rPr>
      </w:pPr>
      <w:r w:rsidRPr="00EA2B8A">
        <w:rPr>
          <w:rFonts w:ascii="宋体" w:eastAsia="宋体" w:hAnsi="宋体" w:cs="宋体" w:hint="eastAsia"/>
          <w:kern w:val="0"/>
          <w:sz w:val="15"/>
          <w:szCs w:val="15"/>
        </w:rPr>
        <w:br/>
      </w:r>
    </w:p>
    <w:p w:rsidR="00EA2B8A" w:rsidRPr="00EA2B8A" w:rsidRDefault="00EA2B8A" w:rsidP="00EA2B8A">
      <w:pPr>
        <w:widowControl/>
        <w:spacing w:before="125" w:after="125" w:line="360" w:lineRule="auto"/>
        <w:rPr>
          <w:rFonts w:ascii="宋体" w:eastAsia="宋体" w:hAnsi="宋体" w:cs="宋体" w:hint="eastAsia"/>
          <w:kern w:val="0"/>
          <w:sz w:val="24"/>
          <w:szCs w:val="24"/>
        </w:rPr>
      </w:pPr>
      <w:r w:rsidRPr="00EA2B8A">
        <w:rPr>
          <w:rFonts w:ascii="宋体" w:eastAsia="宋体" w:hAnsi="宋体" w:cs="宋体" w:hint="eastAsia"/>
          <w:kern w:val="0"/>
          <w:sz w:val="15"/>
          <w:szCs w:val="15"/>
        </w:rPr>
        <w:t xml:space="preserve">　　根据国家自然科学基金委员会（以下简称自然科学基金会）与财团法人李国鼎科技发展基金会(以下简称李国鼎基金会)就联合资助海峡两岸科学家合作研究达成的协议，双方每年共同资助中国大陆与台湾地区研究人员间的合作研究项目。现开始征集2017年度自然科学基金会与李国鼎基金会联合资助合作研究项目（以下简称“两岸项目”），具体说明和要求如下：</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w:t>
      </w:r>
      <w:r w:rsidRPr="00EA2B8A">
        <w:rPr>
          <w:rFonts w:ascii="宋体" w:eastAsia="宋体" w:hAnsi="宋体" w:cs="宋体" w:hint="eastAsia"/>
          <w:b/>
          <w:bCs/>
          <w:kern w:val="0"/>
          <w:sz w:val="15"/>
          <w:szCs w:val="15"/>
        </w:rPr>
        <w:t>一、项目说明</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本项目属于国际（地区）合作研究项目中的组织间合作研究项目，其申请与受理、评审与批准、实施与管理和结题均按照《国家自然科学基金国际（地区）合作研究项目管理办法》进行管理。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（一）资助领域及说明</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w:t>
      </w:r>
      <w:r w:rsidRPr="00EA2B8A">
        <w:rPr>
          <w:rFonts w:ascii="宋体" w:eastAsia="宋体" w:hAnsi="宋体" w:cs="宋体" w:hint="eastAsia"/>
          <w:b/>
          <w:bCs/>
          <w:kern w:val="0"/>
          <w:sz w:val="15"/>
          <w:szCs w:val="15"/>
        </w:rPr>
        <w:t>资助领域为智能辅助科技（申请代码为F03）。</w:t>
      </w:r>
      <w:r w:rsidRPr="00EA2B8A">
        <w:rPr>
          <w:rFonts w:ascii="宋体" w:eastAsia="宋体" w:hAnsi="宋体" w:cs="宋体" w:hint="eastAsia"/>
          <w:kern w:val="0"/>
          <w:sz w:val="15"/>
          <w:szCs w:val="15"/>
        </w:rPr>
        <w:t>具体研究方向如下：</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 神经康复工程中的关键技术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w:t>
      </w:r>
      <w:proofErr w:type="gramStart"/>
      <w:r w:rsidRPr="00EA2B8A">
        <w:rPr>
          <w:rFonts w:ascii="宋体" w:eastAsia="宋体" w:hAnsi="宋体" w:cs="宋体" w:hint="eastAsia"/>
          <w:kern w:val="0"/>
          <w:sz w:val="15"/>
          <w:szCs w:val="15"/>
        </w:rPr>
        <w:t>基于脑机交互</w:t>
      </w:r>
      <w:proofErr w:type="gramEnd"/>
      <w:r w:rsidRPr="00EA2B8A">
        <w:rPr>
          <w:rFonts w:ascii="宋体" w:eastAsia="宋体" w:hAnsi="宋体" w:cs="宋体" w:hint="eastAsia"/>
          <w:kern w:val="0"/>
          <w:sz w:val="15"/>
          <w:szCs w:val="15"/>
        </w:rPr>
        <w:t>的神经功能辅助康复技术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（2）脑认知功能障碍的辅助诊断与调控技术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（3）神经假体反馈机制及神经接口技术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 智能康复辅助器具的系统设计与临床应用</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（1）运动（Mobility）与日常生活能力（ADL）监测与辅助系统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（2）基于物联网的老年监测及照护系统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（3）机器人辅助康复系统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w:t>
      </w:r>
      <w:r w:rsidRPr="00EA2B8A">
        <w:rPr>
          <w:rFonts w:ascii="宋体" w:eastAsia="宋体" w:hAnsi="宋体" w:cs="宋体" w:hint="eastAsia"/>
          <w:b/>
          <w:bCs/>
          <w:kern w:val="0"/>
          <w:sz w:val="15"/>
          <w:szCs w:val="15"/>
        </w:rPr>
        <w:t>填写申请书时，申请人须选择上述申请代码，未按要求填写指定申请代码的申请书将不予受理。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（二）资助年限与资助强度</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本项目的资助年限为3年，起止日期为2018年1月1日至2020年12月31日，申请资助强度上限为170万元人民币/项（直接费用）。拟资助的项目数量为5项左右。资助经费的使用应执行国家及自然科学基金会关于项目资助经费管理的有关规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二、申请要求</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lastRenderedPageBreak/>
        <w:t xml:space="preserve">　　（一）</w:t>
      </w:r>
      <w:proofErr w:type="gramStart"/>
      <w:r w:rsidRPr="00EA2B8A">
        <w:rPr>
          <w:rFonts w:ascii="宋体" w:eastAsia="宋体" w:hAnsi="宋体" w:cs="宋体" w:hint="eastAsia"/>
          <w:kern w:val="0"/>
          <w:sz w:val="15"/>
          <w:szCs w:val="15"/>
        </w:rPr>
        <w:t>需两岸</w:t>
      </w:r>
      <w:proofErr w:type="gramEnd"/>
      <w:r w:rsidRPr="00EA2B8A">
        <w:rPr>
          <w:rFonts w:ascii="宋体" w:eastAsia="宋体" w:hAnsi="宋体" w:cs="宋体" w:hint="eastAsia"/>
          <w:kern w:val="0"/>
          <w:sz w:val="15"/>
          <w:szCs w:val="15"/>
        </w:rPr>
        <w:t>科学家联合申请，大陆科学家作为申请人提出申请，台湾地区科学家作为合作者；</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（二）申请人应正式受聘于中国大陆依托单位，且聘任期应覆盖申请项目执行期；</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（三）申请人须具有高级专业技术职务（职称），且是正在承担或承担过3年期以上自然科学基金项目的负责人；</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（四）合作研究项目应有利于两岸科技发展，有利于增进两岸民众福祉，双方承担的研究任务应紧密围绕关键科学问题并体现优势互补。</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（五）关于申请资格的详细说明请见《2017年度国家自然科学基金项目指南》。</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三、限项规定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国家自然科学基金国际（地区）合作研究项目包括组织间国际（地区）合作研究项目（以下简称组织间合作研究项目）和重点国际（地区）合作研究项目。“两岸项目”属于组织间合作研究项目，申请人申请时须遵循以下限项规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（一）申请人同年只能申请１项国际（地区）合作研究项目。</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（二）上年度获得国际（地区）合作研究项目资助的项目负责人，本年度不得作为申请人申请本项目。</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注：“两岸项目”不计入“高级专业技术职务（职称）人员申请和正在承担的项目总数限为3项的规定”的查重范围。</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四、申报说明</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（一）在线填报申请书路径</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大陆申请人须登录ISIS科学基金网络系统（http://isisn.nsfc.gov.cn），在线填报《国家自然科学基金国际（地区）合作研究项目申请书》（以下简称“中文申请书”）。具体步骤是：</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 选择“项目负责人”用户组登录系统，进入后点击“在线申请”进入申请界面；点击“新增项目申请”按钮进入项目类别选择界面；</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 点击“国际（地区）合作与交流项目”</w:t>
      </w:r>
      <w:proofErr w:type="gramStart"/>
      <w:r w:rsidRPr="00EA2B8A">
        <w:rPr>
          <w:rFonts w:ascii="宋体" w:eastAsia="宋体" w:hAnsi="宋体" w:cs="宋体" w:hint="eastAsia"/>
          <w:kern w:val="0"/>
          <w:sz w:val="15"/>
          <w:szCs w:val="15"/>
        </w:rPr>
        <w:t>左侧+</w:t>
      </w:r>
      <w:proofErr w:type="gramEnd"/>
      <w:r w:rsidRPr="00EA2B8A">
        <w:rPr>
          <w:rFonts w:ascii="宋体" w:eastAsia="宋体" w:hAnsi="宋体" w:cs="宋体" w:hint="eastAsia"/>
          <w:kern w:val="0"/>
          <w:sz w:val="15"/>
          <w:szCs w:val="15"/>
        </w:rPr>
        <w:t>号或者右侧“展开”按钮，展开下拉菜单；</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 点击“组织间合作研究（组织间合作协议项目）”右侧的“填写申请”，进入选择“合作协议”界面，在下拉菜单中选择“两岸项目”，然后按系统要求输入要依托的基金项目批准号后即进入具体申请书填写界面。确认提交成功后，打印纸质申请书一份。</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（二）在线提交附件材料</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除了在线填写提交中文申请书，申请人还须在ISIS系统中提交附件材料，包括：</w:t>
      </w:r>
      <w:r w:rsidRPr="00EA2B8A">
        <w:rPr>
          <w:rFonts w:ascii="宋体" w:eastAsia="宋体" w:hAnsi="宋体" w:cs="宋体" w:hint="eastAsia"/>
          <w:b/>
          <w:bCs/>
          <w:kern w:val="0"/>
          <w:sz w:val="15"/>
          <w:szCs w:val="15"/>
        </w:rPr>
        <w:t>申请人与对方合作者签署的合作研究协议以及对方合作者向李国鼎基金会提交的申请书副本。</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lastRenderedPageBreak/>
        <w:t xml:space="preserve">　　（三）申请材料受理方式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1. 电子版申请材料：电子版申请书及附件材料在线成功提交后，须经依托单位科研处在项目截止期之前登陆ISIS系统审核确认，未经确认的项目将无法成功提交。</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w:t>
      </w:r>
      <w:r w:rsidRPr="00EA2B8A">
        <w:rPr>
          <w:rFonts w:ascii="宋体" w:eastAsia="宋体" w:hAnsi="宋体" w:cs="宋体" w:hint="eastAsia"/>
          <w:b/>
          <w:bCs/>
          <w:kern w:val="0"/>
          <w:sz w:val="15"/>
          <w:szCs w:val="15"/>
        </w:rPr>
        <w:t>我委港澳台事务办公室不直接接收项目申请材料。</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3. 申请人必须保证在线提交申请材料的电子版和纸质版的一致性、完备性。若出现申请材料电子版和纸质版不一致，或申请材料不完整，签字盖章手续不完备等不符合要求的情形，我委将不予受理。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（四）申报期限：</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ISIS系统在线申报接收期为2017年3月21日至2017年5月12日16时。</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纸质材料集中接收期为2017年5月8日至5月12日16时，纸质材料的邮寄以邮戳为准。</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请申请人认真阅读本项目指南，严格按照各项要求填报申请。未按要求填报的申请，将不予受理，务请注意。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b/>
          <w:bCs/>
          <w:kern w:val="0"/>
          <w:sz w:val="15"/>
          <w:szCs w:val="15"/>
        </w:rPr>
        <w:t xml:space="preserve">　　五、联系方式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（一）国家自然科学基金委员会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联系人：王文泽</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电　话：+8610-62326934</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Email：wangwz@nsfc.gov.cn</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（二）财团法人李国鼎科技发展基金会</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联系人：魏屏屏</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电　话：+8862-23935991</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xml:space="preserve">　　Email：ktliresidence@gmail.com</w:t>
      </w:r>
    </w:p>
    <w:p w:rsidR="00EA2B8A" w:rsidRPr="00EA2B8A" w:rsidRDefault="00EA2B8A" w:rsidP="00EA2B8A">
      <w:pPr>
        <w:widowControl/>
        <w:spacing w:before="125" w:after="125" w:line="360" w:lineRule="auto"/>
        <w:rPr>
          <w:rFonts w:ascii="宋体" w:eastAsia="宋体" w:hAnsi="宋体" w:cs="宋体" w:hint="eastAsia"/>
          <w:kern w:val="0"/>
          <w:sz w:val="15"/>
          <w:szCs w:val="15"/>
        </w:rPr>
      </w:pPr>
      <w:r w:rsidRPr="00EA2B8A">
        <w:rPr>
          <w:rFonts w:ascii="宋体" w:eastAsia="宋体" w:hAnsi="宋体" w:cs="宋体" w:hint="eastAsia"/>
          <w:kern w:val="0"/>
          <w:sz w:val="15"/>
          <w:szCs w:val="15"/>
        </w:rPr>
        <w:t> </w:t>
      </w:r>
    </w:p>
    <w:p w:rsidR="00EA2B8A" w:rsidRPr="00EA2B8A" w:rsidRDefault="00EA2B8A" w:rsidP="00EA2B8A">
      <w:pPr>
        <w:widowControl/>
        <w:spacing w:before="125" w:after="125" w:line="360" w:lineRule="auto"/>
        <w:jc w:val="right"/>
        <w:rPr>
          <w:rFonts w:ascii="宋体" w:eastAsia="宋体" w:hAnsi="宋体" w:cs="宋体" w:hint="eastAsia"/>
          <w:kern w:val="0"/>
          <w:sz w:val="15"/>
          <w:szCs w:val="15"/>
        </w:rPr>
      </w:pPr>
      <w:r w:rsidRPr="00EA2B8A">
        <w:rPr>
          <w:rFonts w:ascii="宋体" w:eastAsia="宋体" w:hAnsi="宋体" w:cs="宋体" w:hint="eastAsia"/>
          <w:kern w:val="0"/>
          <w:sz w:val="15"/>
          <w:szCs w:val="15"/>
        </w:rPr>
        <w:t>国家自然科学基金委员会</w:t>
      </w:r>
    </w:p>
    <w:p w:rsidR="00EA2B8A" w:rsidRPr="00EA2B8A" w:rsidRDefault="00EA2B8A" w:rsidP="00EA2B8A">
      <w:pPr>
        <w:widowControl/>
        <w:spacing w:before="125" w:after="125" w:line="360" w:lineRule="auto"/>
        <w:jc w:val="right"/>
        <w:rPr>
          <w:rFonts w:ascii="宋体" w:eastAsia="宋体" w:hAnsi="宋体" w:cs="宋体" w:hint="eastAsia"/>
          <w:kern w:val="0"/>
          <w:sz w:val="15"/>
          <w:szCs w:val="15"/>
        </w:rPr>
      </w:pPr>
      <w:r w:rsidRPr="00EA2B8A">
        <w:rPr>
          <w:rFonts w:ascii="宋体" w:eastAsia="宋体" w:hAnsi="宋体" w:cs="宋体" w:hint="eastAsia"/>
          <w:kern w:val="0"/>
          <w:sz w:val="15"/>
          <w:szCs w:val="15"/>
        </w:rPr>
        <w:t>港澳台事务办公室</w:t>
      </w:r>
    </w:p>
    <w:p w:rsidR="00EA2B8A" w:rsidRPr="00EA2B8A" w:rsidRDefault="00EA2B8A" w:rsidP="00EA2B8A">
      <w:pPr>
        <w:widowControl/>
        <w:spacing w:before="125" w:after="125" w:line="360" w:lineRule="auto"/>
        <w:jc w:val="right"/>
        <w:rPr>
          <w:rFonts w:ascii="宋体" w:eastAsia="宋体" w:hAnsi="宋体" w:cs="宋体" w:hint="eastAsia"/>
          <w:kern w:val="0"/>
          <w:sz w:val="15"/>
          <w:szCs w:val="15"/>
        </w:rPr>
      </w:pPr>
      <w:r w:rsidRPr="00EA2B8A">
        <w:rPr>
          <w:rFonts w:ascii="宋体" w:eastAsia="宋体" w:hAnsi="宋体" w:cs="宋体" w:hint="eastAsia"/>
          <w:kern w:val="0"/>
          <w:sz w:val="15"/>
          <w:szCs w:val="15"/>
        </w:rPr>
        <w:lastRenderedPageBreak/>
        <w:t>2017年3月21日</w:t>
      </w:r>
    </w:p>
    <w:p w:rsidR="00E60C8A" w:rsidRPr="00EA2B8A" w:rsidRDefault="00E60C8A"/>
    <w:sectPr w:rsidR="00E60C8A" w:rsidRPr="00EA2B8A" w:rsidSect="00E60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C8A"/>
    <w:pPr>
      <w:widowControl w:val="0"/>
      <w:jc w:val="both"/>
    </w:pPr>
  </w:style>
  <w:style w:type="paragraph" w:styleId="1">
    <w:name w:val="heading 1"/>
    <w:basedOn w:val="a"/>
    <w:link w:val="1Char"/>
    <w:uiPriority w:val="9"/>
    <w:qFormat/>
    <w:rsid w:val="00EA2B8A"/>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A2B8A"/>
    <w:rPr>
      <w:rFonts w:ascii="宋体" w:eastAsia="宋体" w:hAnsi="宋体" w:cs="宋体"/>
      <w:kern w:val="36"/>
      <w:sz w:val="24"/>
      <w:szCs w:val="24"/>
    </w:rPr>
  </w:style>
  <w:style w:type="character" w:styleId="a3">
    <w:name w:val="Hyperlink"/>
    <w:basedOn w:val="a0"/>
    <w:uiPriority w:val="99"/>
    <w:semiHidden/>
    <w:unhideWhenUsed/>
    <w:rsid w:val="00EA2B8A"/>
    <w:rPr>
      <w:strike w:val="0"/>
      <w:dstrike w:val="0"/>
      <w:color w:val="333333"/>
      <w:u w:val="none"/>
      <w:effect w:val="none"/>
    </w:rPr>
  </w:style>
  <w:style w:type="paragraph" w:styleId="a4">
    <w:name w:val="Normal (Web)"/>
    <w:basedOn w:val="a"/>
    <w:uiPriority w:val="99"/>
    <w:semiHidden/>
    <w:unhideWhenUsed/>
    <w:rsid w:val="00EA2B8A"/>
    <w:pPr>
      <w:widowControl/>
      <w:spacing w:before="125" w:after="125" w:line="360" w:lineRule="auto"/>
      <w:jc w:val="left"/>
    </w:pPr>
    <w:rPr>
      <w:rFonts w:ascii="宋体" w:eastAsia="宋体" w:hAnsi="宋体" w:cs="宋体"/>
      <w:kern w:val="0"/>
      <w:sz w:val="24"/>
      <w:szCs w:val="24"/>
    </w:rPr>
  </w:style>
  <w:style w:type="character" w:customStyle="1" w:styleId="normal105">
    <w:name w:val="normal105"/>
    <w:basedOn w:val="a0"/>
    <w:rsid w:val="00EA2B8A"/>
  </w:style>
</w:styles>
</file>

<file path=word/webSettings.xml><?xml version="1.0" encoding="utf-8"?>
<w:webSettings xmlns:r="http://schemas.openxmlformats.org/officeDocument/2006/relationships" xmlns:w="http://schemas.openxmlformats.org/wordprocessingml/2006/main">
  <w:divs>
    <w:div w:id="2082216777">
      <w:bodyDiv w:val="1"/>
      <w:marLeft w:val="0"/>
      <w:marRight w:val="0"/>
      <w:marTop w:val="0"/>
      <w:marBottom w:val="0"/>
      <w:divBdr>
        <w:top w:val="none" w:sz="0" w:space="0" w:color="auto"/>
        <w:left w:val="none" w:sz="0" w:space="0" w:color="auto"/>
        <w:bottom w:val="none" w:sz="0" w:space="0" w:color="auto"/>
        <w:right w:val="none" w:sz="0" w:space="0" w:color="auto"/>
      </w:divBdr>
      <w:divsChild>
        <w:div w:id="1769037146">
          <w:marLeft w:val="0"/>
          <w:marRight w:val="0"/>
          <w:marTop w:val="0"/>
          <w:marBottom w:val="0"/>
          <w:divBdr>
            <w:top w:val="none" w:sz="0" w:space="0" w:color="auto"/>
            <w:left w:val="none" w:sz="0" w:space="0" w:color="auto"/>
            <w:bottom w:val="none" w:sz="0" w:space="0" w:color="auto"/>
            <w:right w:val="none" w:sz="0" w:space="0" w:color="auto"/>
          </w:divBdr>
          <w:divsChild>
            <w:div w:id="2075809474">
              <w:marLeft w:val="0"/>
              <w:marRight w:val="0"/>
              <w:marTop w:val="63"/>
              <w:marBottom w:val="0"/>
              <w:divBdr>
                <w:top w:val="none" w:sz="0" w:space="0" w:color="auto"/>
                <w:left w:val="none" w:sz="0" w:space="0" w:color="auto"/>
                <w:bottom w:val="none" w:sz="0" w:space="0" w:color="auto"/>
                <w:right w:val="none" w:sz="0" w:space="0" w:color="auto"/>
              </w:divBdr>
              <w:divsChild>
                <w:div w:id="1999380225">
                  <w:marLeft w:val="0"/>
                  <w:marRight w:val="0"/>
                  <w:marTop w:val="0"/>
                  <w:marBottom w:val="0"/>
                  <w:divBdr>
                    <w:top w:val="none" w:sz="0" w:space="0" w:color="auto"/>
                    <w:left w:val="none" w:sz="0" w:space="0" w:color="auto"/>
                    <w:bottom w:val="none" w:sz="0" w:space="0" w:color="auto"/>
                    <w:right w:val="none" w:sz="0" w:space="0" w:color="auto"/>
                  </w:divBdr>
                  <w:divsChild>
                    <w:div w:id="1213689827">
                      <w:marLeft w:val="0"/>
                      <w:marRight w:val="0"/>
                      <w:marTop w:val="0"/>
                      <w:marBottom w:val="0"/>
                      <w:divBdr>
                        <w:top w:val="single" w:sz="4" w:space="28" w:color="BBE0ED"/>
                        <w:left w:val="single" w:sz="4" w:space="0" w:color="BBE0ED"/>
                        <w:bottom w:val="single" w:sz="4" w:space="0" w:color="BBE0ED"/>
                        <w:right w:val="single" w:sz="4" w:space="0" w:color="BBE0ED"/>
                      </w:divBdr>
                      <w:divsChild>
                        <w:div w:id="862324555">
                          <w:marLeft w:val="0"/>
                          <w:marRight w:val="0"/>
                          <w:marTop w:val="0"/>
                          <w:marBottom w:val="0"/>
                          <w:divBdr>
                            <w:top w:val="none" w:sz="0" w:space="0" w:color="auto"/>
                            <w:left w:val="none" w:sz="0" w:space="0" w:color="auto"/>
                            <w:bottom w:val="none" w:sz="0" w:space="0" w:color="auto"/>
                            <w:right w:val="none" w:sz="0" w:space="0" w:color="auto"/>
                          </w:divBdr>
                          <w:divsChild>
                            <w:div w:id="2023362088">
                              <w:marLeft w:val="0"/>
                              <w:marRight w:val="0"/>
                              <w:marTop w:val="0"/>
                              <w:marBottom w:val="0"/>
                              <w:divBdr>
                                <w:top w:val="none" w:sz="0" w:space="0" w:color="auto"/>
                                <w:left w:val="none" w:sz="0" w:space="0" w:color="auto"/>
                                <w:bottom w:val="none" w:sz="0" w:space="0" w:color="auto"/>
                                <w:right w:val="none" w:sz="0" w:space="0" w:color="auto"/>
                              </w:divBdr>
                              <w:divsChild>
                                <w:div w:id="1622954113">
                                  <w:marLeft w:val="0"/>
                                  <w:marRight w:val="0"/>
                                  <w:marTop w:val="0"/>
                                  <w:marBottom w:val="0"/>
                                  <w:divBdr>
                                    <w:top w:val="none" w:sz="0" w:space="0" w:color="auto"/>
                                    <w:left w:val="none" w:sz="0" w:space="0" w:color="auto"/>
                                    <w:bottom w:val="none" w:sz="0" w:space="0" w:color="auto"/>
                                    <w:right w:val="none" w:sz="0" w:space="0" w:color="auto"/>
                                  </w:divBdr>
                                  <w:divsChild>
                                    <w:div w:id="1531649136">
                                      <w:marLeft w:val="0"/>
                                      <w:marRight w:val="0"/>
                                      <w:marTop w:val="0"/>
                                      <w:marBottom w:val="0"/>
                                      <w:divBdr>
                                        <w:top w:val="none" w:sz="0" w:space="0" w:color="auto"/>
                                        <w:left w:val="none" w:sz="0" w:space="0" w:color="auto"/>
                                        <w:bottom w:val="none" w:sz="0" w:space="0" w:color="auto"/>
                                        <w:right w:val="none" w:sz="0" w:space="0" w:color="auto"/>
                                      </w:divBdr>
                                    </w:div>
                                    <w:div w:id="103619002">
                                      <w:marLeft w:val="0"/>
                                      <w:marRight w:val="0"/>
                                      <w:marTop w:val="0"/>
                                      <w:marBottom w:val="0"/>
                                      <w:divBdr>
                                        <w:top w:val="none" w:sz="0" w:space="0" w:color="auto"/>
                                        <w:left w:val="none" w:sz="0" w:space="0" w:color="auto"/>
                                        <w:bottom w:val="none" w:sz="0" w:space="0" w:color="auto"/>
                                        <w:right w:val="none" w:sz="0" w:space="0" w:color="auto"/>
                                      </w:divBdr>
                                    </w:div>
                                    <w:div w:id="2780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10" Type="http://schemas.openxmlformats.org/officeDocument/2006/relationships/theme" Target="theme/theme1.xml"/><Relationship Id="rId4" Type="http://schemas.openxmlformats.org/officeDocument/2006/relationships/hyperlink" Target="javascript:doZoom(16)"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2219</Characters>
  <Application>Microsoft Office Word</Application>
  <DocSecurity>0</DocSecurity>
  <Lines>18</Lines>
  <Paragraphs>5</Paragraphs>
  <ScaleCrop>false</ScaleCrop>
  <Company>Lenovo</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2017-03-23T04:02:00Z</dcterms:created>
  <dcterms:modified xsi:type="dcterms:W3CDTF">2017-03-23T04:03:00Z</dcterms:modified>
</cp:coreProperties>
</file>